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soft orange-red with an irregular beige-white surface texture.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*216x103x64 mm</w:t>
            </w:r>
          </w:p>
        </w:tc>
        <w:tc>
          <w:p>
            <w:r>
              <w:rPr>
                <w:sz w:val="14"/>
                <w:rFonts w:ascii="Myriad Pro Light"/>
                <w:tcPr>
                  <w:vAlign w:val="center"/>
                </w:tcPr>
              </w:rPr>
              <w:t>- On demand &gt; 2000 m² </w:t>
            </w:r>
          </w:p>
        </w:tc>
      </w:tr>
      <w:tr>
        <w:tc>
          <w:p>
            <w:r>
              <w:rPr>
                <w:sz w:val="14"/>
                <w:rFonts w:ascii="Myriad Pro Light"/>
                <w:tcPr>
                  <w:vAlign w:val="center"/>
                </w:tcPr>
              </w:rPr>
              <w:t>Quantity / m² with a traditional joint</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