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unsanded moulded brick without grain with a very uneven structure and frog. Due to the natural reduction with coal the bricks have a strong fired rough field fire aspect. Some visible sides of the brick also contain traces of coal and of the manual production method. The colour of the body is predominantly grey.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The facing brick is a moulded brick with frog and has a homogeneous structure.It is free from lime and other inclusions and has at least one stretch and one head which are free from cracks and other aspects which negatively affect the overall appearance of the brickwork. This entirely natural product is made of alluvial clay from the Quaternary from the Scheldt valley. The brick is formed in a unsanded mould by putting in a lump of clay and is fired at at least 1150 °C.</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*216x101x64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58 (12 mm) </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0.54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31-08-2026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