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unsanded moulded brick without grain with a very uneven structure and frog. Due to the natural reduction with coal the bricks have a strong fired rough field fire aspect. Some visible sides of the brick also contain traces of coal and of the manual production method. The colour of the body is cream and nuanced from cream to ecru.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The facing brick is a moulded brick with frog and has a homogeneous structure.It is free from lime and other inclusions and has at least one stretch and one head which are free from cracks and other aspects which negatively affect the overall appearance of the brickwork. This entirely natural product is made of alluvial clay from the Quaternary from the Scheldt valley. The brick is formed in a unsanded mould by putting in a lump of clay and is fired at at least 1150 °C.</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59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66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J</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