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unsanded moulded brick without grain with a very uneven structure and frog. Due to the natural reduction with coal the bricks have a strong fired rough field fire aspect. Some visible sides of the brick also contain traces of coal and of the manual production method. The colour of the body is red with strong red and red-brown to purple-blue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moulded brick with frog and has a homogeneous structure.It is free from lime and other inclusions and has at least one stretch and one head which are free from cracks and other aspects which negatively affect the overall appearance of the brickwork. This entirely natural product is made of alluvial clay from the Quaternary from the Scheldt valley. The brick is formed in a unsanded mould by putting in a lump of clay and is fired at at least 1150 °C.</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*210x100x62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61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69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