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unsanded moulded brick without grain with a very uneven structure and frog. Due to the natural reduction with coal the bricks have a strong fired rough field fire aspect. Some visible sides of the brick also contain traces of coal and of the manual production method. The colour of the body is red, red-brown to red-blue.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The facing brick is a moulded brick with frog and has a homogeneous structure.It is free from lime and other inclusions and has at least one stretch and one head which are free from cracks and other aspects which negatively affect the overall appearance of the brickwork. This entirely natural product is made of alluvial clay from the Quaternary from the Scheldt valley. The brick is formed in a unsanded mould by putting in a lump of clay and is fired at at least 1150 °C.</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*216x102x64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O</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