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colour is beige grey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 The brick is formed in a unsanded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bricks are delivered with the following characteristics, in accordance with the CE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4 kg/(m² . min) IW3</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0.60 W/mK (table 1 EN1745)</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