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unsanded moulded brick without grain with a very uneven structure. Due to the natural reduction with coal the bricks have a strong fired rough field fire aspect. Some visible sides of the brick also contain traces of coal and of the manual production method. The colour of the body is coral to brown-red with nuances.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 The brick is formed in a unsanded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bricks are delivered with the following characteristics, in accordance with the CE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*241x73x38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79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92 (6 mm)</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0.65 W/mK (table 1 EN1745)</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3016</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