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 very uneven structure. Due to the natural reduction with coal the bricks have a strong fired rough field fire aspect. Some visible sides of the brick also contain traces of coal and of the manual production method. The colour of the body is coral to brown-red with nuances.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*240x115x38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80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93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0.65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 3016</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