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(internal and/or external ashlar) has been constructed using a solid, sanded, authentic coal-fired brick with unique shades of colour. The bricks are laid by hand and firing is reduced by adding a fine coal mixture and carrying out laying by hand. As a result of the natural reduction through coal-firing, some facing bricks have the light look of a field kiln brick while a number of visible sides of the brick contain coal residue and signs of manual laying. Due to the atmospheric differences in the kiln, a number of bricks have paler sides and one darker side. The colour of the body is 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grained structure. It is free from lime and other inclusions and has at least one stretch and one head which are free from cracks and other aspects which negatively affect the overall appearance of the brickwork.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 </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