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(internal and/or external ashlar) has been constructed using a solid, sanded, authentic coal-fired brick with unique shades of colour. The bricks are laid by hand and firing is reduced by adding a fine coal mixture and carrying out laying by hand. As a result of the natural reduction through coal-firing, some facing bricks have the light look of a field kiln brick while a number of visible sides of the brick contain coal residue and signs of manual laying. Due to the atmospheric differences in the kiln, a number of bricks have paler sides and one darker side. The colour of the body is brown-red with nuances.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grained structure. It is free from lime and other inclusions and has at least one stretch and one head which are free from cracks and other aspects which negatively affect the overall appearance of the brickwork.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 </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3011</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