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(internal and/or external ashlar) has been constructed using a solid, sanded, authentic coal-fired brick with unique shades of colour. The bricks are laid by hand and firing is reduced by adding a fine coal mixture and carrying out laying by hand. As a result of the natural reduction through coal-firing, some facing bricks have the light look of a field kiln brick while a number of visible sides of the brick contain coal residue and signs of manual laying. Due to the atmospheric differences in the kiln, a number of bricks have paler sides and one darker side. The colour of the body is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grained structure. It is free from lime and other inclusions and has at least one stretch and one head which are free from cracks and other aspects which negatively affect the overall appearance of the brickwork.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 </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