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(internal and/or external ashlar) has been constructed using a solid, sanded, authentic coal-fired brick with unique shades of colour. The bricks are laid by hand and firing is reduced by adding a fine coal mixture and carrying out laying by hand. As a result of the natural reduction through coal-firing, some facing bricks have the light look of a field kiln brick while a number of visible sides of the brick contain coal residue and signs of manual laying. Due to the atmospheric differences in the kiln, a number of bricks have paler sides and one darker side. The colour of the body is brown-red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grained structure. It is free from lime and other inclusions and has at least one stretch and one head which are free from cracks and other aspects which negatively affect the overall appearance of the brickwork.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 </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3011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