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 very uneven structure. Due to the natural reduction with coal the bricks have a strong fired rough field fire aspect. Some visible sides of the brick also contain traces of coal and of the manual production method. The colour is light grey with nuances through and through and with beige accents.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 The brick is fired a second time with complete reduction.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*510x102x40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37</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43</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0.60 W/mK (table 1 EN1745)</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Infinitum 7001</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