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Green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The brick is fired a second time with complete reduction.</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*212x51x104 mm</w:t>
            </w:r>
          </w:p>
        </w:tc>
        <w:tc>
          <w:p>
            <w:r>
              <w:rPr>
                <w:sz w:val="14"/>
                <w:rFonts w:ascii="Myriad Pro Light"/>
                <w:tcPr>
                  <w:vAlign w:val="center"/>
                </w:tcPr>
              </w:rPr>
              <w:t>on demand for projects &gt; 2000 m²</w:t>
            </w:r>
          </w:p>
        </w:tc>
      </w:tr>
      <w:tr>
        <w:tc>
          <w:p>
            <w:r>
              <w:rPr>
                <w:sz w:val="14"/>
                <w:rFonts w:ascii="Myriad Pro Light"/>
                <w:tcPr>
                  <w:vAlign w:val="center"/>
                </w:tcPr>
              </w:rPr>
              <w:t>Quantity / m² with a traditional joint</w:t>
            </w:r>
          </w:p>
        </w:tc>
        <w:tc>
          <w:p>
            <w:r>
              <w:rPr>
                <w:sz w:val="14"/>
                <w:rFonts w:ascii="Myriad Pro Light"/>
                <w:tcPr>
                  <w:vAlign w:val="center"/>
                </w:tcPr>
              </w:rPr>
              <w:t>ca. 89</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Class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 NBN EN1344</w:t>
            </w:r>
          </w:p>
        </w:tc>
        <w:tc>
          <w:p>
            <w:r>
              <w:rPr>
                <w:sz w:val="14"/>
                <w:rFonts w:ascii="Myriad Pro Light"/>
                <w:tcPr>
                  <w:vAlign w:val="center"/>
                </w:tcPr>
              </w:rPr>
              <w:t>Class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 NBN EN1344</w:t>
            </w:r>
          </w:p>
        </w:tc>
        <w:tc>
          <w:p>
            <w:r>
              <w:rPr>
                <w:sz w:val="14"/>
                <w:rFonts w:ascii="Myriad Pro Light"/>
                <w:tcPr>
                  <w:vAlign w:val="center"/>
                </w:tcPr>
              </w:rPr>
              <w:t>Class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 NBN EN1344</w:t>
            </w:r>
          </w:p>
        </w:tc>
        <w:tc>
          <w:p>
            <w:r>
              <w:rPr>
                <w:sz w:val="14"/>
                <w:rFonts w:ascii="Myriad Pro Light"/>
                <w:tcPr>
                  <w:vAlign w:val="center"/>
                </w:tcPr>
              </w:rPr>
              <w:t>Class 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Size tolerance NBN EN1344</w:t>
            </w:r>
          </w:p>
        </w:tc>
        <w:tc>
          <w:p>
            <w:r>
              <w:rPr>
                <w:sz w:val="14"/>
                <w:rFonts w:ascii="Myriad Pro Light"/>
                <w:tcPr>
                  <w:vAlign w:val="center"/>
                </w:tcPr>
              </w:rPr>
              <w:t>Class R1</w:t>
            </w:r>
          </w:p>
        </w:tc>
        <w:tc>
          <w:p>
            <w:r>
              <w:rPr>
                <w:sz w:val="14"/>
                <w:rFonts w:ascii="Myriad Pro Light"/>
                <w:tcPr>
                  <w:vAlign w:val="center"/>
                </w:tcPr>
              </w:rPr>
              <w:t>± 0,4 √d</w:t>
            </w:r>
          </w:p>
        </w:tc>
        <w:tc>
          <w:p>
            <w:r>
              <w:rPr>
                <w:sz w:val="14"/>
                <w:rFonts w:ascii="Myriad Pro Light"/>
                <w:tcPr>
                  <w:vAlign w:val="center"/>
                </w:tcPr>
              </w:rPr>
              <w:t>0,6 √d (range)</w:t>
            </w:r>
          </w:p>
        </w:tc>
      </w:tr>
      <w:tr>
        <w:tc>
          <w:p>
            <w:r>
              <w:rPr>
                <w:sz w:val="14"/>
                <w:rFonts w:ascii="Myriad Pro Light"/>
                <w:tcPr>
                  <w:vAlign w:val="center"/>
                </w:tcPr>
              </w:rPr>
              <w:t>Wet skid resistance NBN EN1344</w:t>
            </w:r>
          </w:p>
        </w:tc>
        <w:tc>
          <w:p>
            <w:r>
              <w:rPr>
                <w:sz w:val="14"/>
                <w:rFonts w:ascii="Myriad Pro Light"/>
                <w:tcPr>
                  <w:vAlign w:val="center"/>
                </w:tcPr>
              </w:rPr>
              <w:t>Class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 NBN EN1344</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&lt; 7%</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Salvia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18-09-2026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