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Vande Moortel Bordeaux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An intense blend of dark red and bordeaux shades with nuances</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The shape is slightly irregular. Finally the bricks are processed until they have acquired a weathered</w:t>
        <w:br/>
        <w:t>shape, due to which the paver surface leaves a rustic, aged impression.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pavers are delivered with the following characteristics, in accordance with the CE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*188x45x63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111</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Class W2</w:t>
            </w:r>
          </w:p>
        </w:tc>
        <w:tc>
          <w:p>
            <w:r>
              <w:rPr>
                <w:sz w:val="14"/>
                <w:rFonts w:ascii="Myriad Pro Light"/>
                <w:tcPr>
                  <w:vAlign w:val="center"/>
                </w:tcPr>
              </w:rPr>
              <w:t>max.5%</w:t>
            </w:r>
          </w:p>
        </w:tc>
        <w:tc>
          <w:p>
            <w:r>
              <w:rPr>
                <w:sz w:val="14"/>
                <w:rFonts w:ascii="Myriad Pro Light"/>
                <w:tcPr>
                  <w:vAlign w:val="center"/>
                </w:tcPr>
              </w:rPr>
              <w:t>max.6%</w:t>
            </w:r>
          </w:p>
        </w:tc>
      </w:tr>
      <w:tr>
        <w:tc>
          <w:p>
            <w:r>
              <w:rPr>
                <w:sz w:val="14"/>
                <w:rFonts w:ascii="Myriad Pro Light"/>
                <w:tcPr>
                  <w:vAlign w:val="center"/>
                </w:tcPr>
              </w:rPr>
              <w:t>Transverse breaking load NBN EN1344</w:t>
            </w:r>
          </w:p>
        </w:tc>
        <w:tc>
          <w:p>
            <w:r>
              <w:rPr>
                <w:sz w:val="14"/>
                <w:rFonts w:ascii="Myriad Pro Light"/>
                <w:tcPr>
                  <w:vAlign w:val="center"/>
                </w:tcPr>
              </w:rPr>
              <w:t>Class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 NBN EN1344</w:t>
            </w:r>
          </w:p>
        </w:tc>
        <w:tc>
          <w:p>
            <w:r>
              <w:rPr>
                <w:sz w:val="14"/>
                <w:rFonts w:ascii="Myriad Pro Light"/>
                <w:tcPr>
                  <w:vAlign w:val="center"/>
                </w:tcPr>
              </w:rPr>
              <w:t>Class A2 (+)</w:t>
            </w:r>
          </w:p>
        </w:tc>
        <w:tc>
          <w:p>
            <w:r>
              <w:rPr>
                <w:sz w:val="14"/>
                <w:rFonts w:ascii="Myriad Pro Light"/>
                <w:tcPr>
                  <w:vAlign w:val="center"/>
                </w:tcPr>
              </w:rPr>
              <w:t>max.600 mm³     </w:t>
            </w:r>
          </w:p>
        </w:tc>
        <w:tc>
          <w:p>
            <w:r>
              <w:rPr>
                <w:sz w:val="14"/>
                <w:rFonts w:ascii="Myriad Pro Light"/>
                <w:tcPr>
                  <w:vAlign w:val="center"/>
                </w:tcPr>
              </w:rPr>
              <w:t>max.800 mm³</w:t>
            </w:r>
          </w:p>
        </w:tc>
      </w:tr>
      <w:tr>
        <w:tc>
          <w:p>
            <w:r>
              <w:rPr>
                <w:sz w:val="14"/>
                <w:rFonts w:ascii="Myriad Pro Light"/>
                <w:tcPr>
                  <w:vAlign w:val="center"/>
                </w:tcPr>
              </w:rPr>
              <w:t>Frost resistance NBN EN1344</w:t>
            </w:r>
          </w:p>
        </w:tc>
        <w:tc>
          <w:p>
            <w:r>
              <w:rPr>
                <w:sz w:val="14"/>
                <w:rFonts w:ascii="Myriad Pro Light"/>
                <w:tcPr>
                  <w:vAlign w:val="center"/>
                </w:tcPr>
              </w:rPr>
              <w:t>Class 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Size tolerance NBN EN1344</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r>
        <w:tc>
          <w:p>
            <w:r>
              <w:rPr>
                <w:sz w:val="14"/>
                <w:rFonts w:ascii="Myriad Pro Light"/>
                <w:tcPr>
                  <w:vAlign w:val="center"/>
                </w:tcPr>
              </w:rPr>
              <w:t>Wet skid resistance NBN EN1344</w:t>
            </w:r>
          </w:p>
        </w:tc>
        <w:tc>
          <w:p>
            <w:r>
              <w:rPr>
                <w:sz w:val="14"/>
                <w:rFonts w:ascii="Myriad Pro Light"/>
                <w:tcPr>
                  <w:vAlign w:val="center"/>
                </w:tcPr>
              </w:rPr>
              <w:t>Class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 NBN EN1344</w:t>
            </w:r>
          </w:p>
        </w:tc>
        <w:tc>
          <w:p>
            <w:r>
              <w:rPr>
                <w:sz w:val="14"/>
                <w:rFonts w:ascii="Myriad Pro Light"/>
                <w:tcPr>
                  <w:vAlign w:val="center"/>
                </w:tcPr>
              </w:rPr>
              <w:t>Class C</w:t>
            </w:r>
          </w:p>
        </w:tc>
        <w:tc>
          <w:p>
            <w:r>
              <w:rPr>
                <w:sz w:val="14"/>
                <w:rFonts w:ascii="Myriad Pro Light"/>
                <w:tcPr>
                  <w:vAlign w:val="center"/>
                </w:tcPr>
              </w:rPr>
              <w:t>&lt; 7%</w:t>
            </w:r>
          </w:p>
        </w:tc>
        <w:tc>
          <w:p>
            <w:r>
              <w:rPr>
                <w:sz w:val="14"/>
                <w:rFonts w:ascii="Myriad Pro Light"/>
                <w:tcPr>
                  <w:vAlign w:val="center"/>
                </w:tcPr>
              </w:rPr>
              <w:t> </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Vande Moortel H2O Clay Paving Sand – a jointing sand with a water permeability of &gt; 5.4 * 10-5 m/s – is embedded between the clay pavers. The filter stability of this sand is matched to the paving layer of the Vande Moortel H2O Bedding Course.</w:t>
        <w:br/>
        <w:t>Jointing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Vande Moortel H2O Clay Paving Sand should be spread over the whole surface again and swept in several times. Repeat the procedure until the clay pavers can no longer move and the joint is completely filled. Only then is the paved surface ready for use.</w:t>
      </w:r>
      <w:r w:rsidR="00461C91">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670B082E">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MATERIALS</w:t>
      </w:r>
      <w:r w:rsidR="002F4419">
        <w:rPr>
          <w:color w:val="111111"/>
        </w:rPr>
        <w:br/>
      </w:r>
    </w:p>
    <w:p w:rsidR="00420024" w:rsidP="008742C3" w:rsidRDefault="00420024" w14:paraId="39DB7440" w14:textId="5F7FF1FA">
      <w:pPr>
        <w:pStyle w:val="Kop1"/>
        <w:keepLines/>
        <w:widowControl/>
      </w:pPr>
      <w:r>
        <w:rPr>
          <w:noProof/>
          <w:color w:val="111111"/>
        </w:rPr>
        <w:t>Joint filler</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a naturally pure crushed sand originating from the process of crushing natural stone. Its natural form is angular and sharp with virtually no fine particles smaller than 0.063 mm (NBN EN 933-1) and a grain thickness of up to 2 mm. The colour is dark grey to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Packaging and consumption of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25 kg bag</w:t>
            </w:r>
          </w:p>
        </w:tc>
      </w:tr>
      <w:tr>
        <w:tc>
          <w:p>
            <w:r>
              <w:rPr>
                <w:sz w:val="14"/>
                <w:rFonts w:ascii="Myriad Pro Light"/>
                <w:tcPr>
                  <w:vAlign w:val="center"/>
                </w:tcPr>
              </w:rPr>
              <w:t>Consumption</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WF/DF</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Paving layer</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Vande Moortel H2O Bedding Course is recommended for the paving layer. This crushed sand has a fraction of 2/4 and the quality required for good durable water permeability. That means that the Los Angeles coefficient (LA – resistance to crushing) must not exceed 20 and the Micro-Deval coefficient (MDE – resistance to abrasion) must not exceed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Packaging and consumption of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40 kg bag</w:t>
            </w:r>
          </w:p>
        </w:tc>
      </w:tr>
      <w:tr>
        <w:tc>
          <w:p>
            <w:r>
              <w:rPr>
                <w:sz w:val="14"/>
                <w:rFonts w:ascii="Myriad Pro Light"/>
                <w:tcPr>
                  <w:vAlign w:val="center"/>
                </w:tcPr>
              </w:rPr>
              <w:t>Consumption (thickness 3 cm after compression)</w:t>
            </w:r>
          </w:p>
        </w:tc>
        <w:tc>
          <w:p>
            <w:r>
              <w:rPr>
                <w:sz w:val="14"/>
                <w:rFonts w:ascii="Myriad Pro Light"/>
                <w:tcPr>
                  <w:vAlign w:val="center"/>
                </w:tcPr>
              </w:rPr>
              <w:t>Approximately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Water-permeable crushed stone foundations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Additional information on the use of draining lean-mixed concrete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Water-permeable crushed stone sub-foundations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Geotextile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MAINTENANCE</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Bordeaux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19-06-2026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