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 intense blend of dark red and bordeaux shades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pavers are delivered with the following characteristics, in accordance with the CE and UKCA mark: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*188x45x63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111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W2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max.5%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max.6%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A2 (+)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max.600 mm³     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max.800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Ancienne Belgique 7 Bordeaux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