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An intense blend of dark red and bordeaux shades with nuances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pavers are delivered with the following characteristics, in accordance with the CE and UKCA mark: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*188x45x63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111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W2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max.5%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max.6%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A2 (+)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max.600 mm³     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max.800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Ancienne Belgique 7 Bordeaux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